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388" w:rsidRDefault="000B1388" w:rsidP="006C505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BA503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6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методолог за послове рекламационог</w:t>
            </w:r>
          </w:p>
          <w:p w:rsidR="006C505C" w:rsidRPr="00E5281D" w:rsidRDefault="000B1388" w:rsidP="006C505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поступка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0B1388">
              <w:rPr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Група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послове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рекламaционог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поступка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0B1388">
              <w:rPr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извршавање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јавних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плаћања</w:t>
            </w:r>
            <w:proofErr w:type="spellEnd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0B1388">
              <w:rPr>
                <w:sz w:val="20"/>
                <w:szCs w:val="20"/>
              </w:rPr>
              <w:t xml:space="preserve"> 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Сектор за јавна плаћања и фискалну статистику</w:t>
            </w:r>
            <w:r w:rsidRPr="000B1388">
              <w:rPr>
                <w:sz w:val="20"/>
                <w:szCs w:val="20"/>
              </w:rPr>
              <w:t xml:space="preserve"> 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0B138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017D4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0B13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B1388" w:rsidRPr="000B1388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BA50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BA50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BA5032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BA5032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0B1388"/>
    <w:rsid w:val="001F5C41"/>
    <w:rsid w:val="0030156D"/>
    <w:rsid w:val="00350EF2"/>
    <w:rsid w:val="00433A9D"/>
    <w:rsid w:val="00617BAA"/>
    <w:rsid w:val="00661097"/>
    <w:rsid w:val="006619CC"/>
    <w:rsid w:val="006C505C"/>
    <w:rsid w:val="00753C3E"/>
    <w:rsid w:val="007D07EB"/>
    <w:rsid w:val="00956823"/>
    <w:rsid w:val="009C54C0"/>
    <w:rsid w:val="00BA5032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3B9C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2022-04-29T11:39:00Z</dcterms:modified>
</cp:coreProperties>
</file>